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BAE935">
      <w:pPr>
        <w:spacing w:beforeAutospacing="0" w:afterAutospacing="0" w:line="579" w:lineRule="exact"/>
        <w:ind w:leftChars="0" w:rightChars="0" w:firstLine="2492" w:firstLineChars="700"/>
        <w:jc w:val="both"/>
        <w:rPr>
          <w:rFonts w:hint="eastAsia" w:ascii="方正小标宋_GBK" w:hAnsi="方正小标宋_GBK" w:eastAsia="方正小标宋_GBK" w:cs="方正小标宋_GBK"/>
          <w:b w:val="0"/>
          <w:i w:val="0"/>
          <w:sz w:val="36"/>
          <w:szCs w:val="28"/>
        </w:rPr>
      </w:pPr>
      <w:r>
        <w:rPr>
          <w:rFonts w:hint="eastAsia" w:ascii="方正小标宋_GBK" w:hAnsi="方正小标宋_GBK" w:eastAsia="方正小标宋_GBK" w:cs="方正小标宋_GBK"/>
          <w:b w:val="0"/>
          <w:i w:val="0"/>
          <w:sz w:val="36"/>
          <w:szCs w:val="28"/>
        </w:rPr>
        <w:t>四川省广元市八二一中学</w:t>
      </w:r>
    </w:p>
    <w:p w14:paraId="7BD31937">
      <w:pPr>
        <w:spacing w:beforeAutospacing="0" w:afterAutospacing="0" w:line="579" w:lineRule="exact"/>
        <w:ind w:leftChars="0" w:rightChars="0" w:firstLine="1780" w:firstLineChars="500"/>
        <w:jc w:val="both"/>
        <w:rPr>
          <w:rFonts w:hint="eastAsia" w:ascii="方正小标宋_GBK" w:hAnsi="方正小标宋_GBK" w:eastAsia="方正小标宋_GBK" w:cs="方正小标宋_GBK"/>
          <w:b w:val="0"/>
          <w:i w:val="0"/>
          <w:sz w:val="36"/>
          <w:szCs w:val="28"/>
        </w:rPr>
      </w:pPr>
      <w:r>
        <w:rPr>
          <w:rFonts w:hint="eastAsia" w:ascii="方正小标宋_GBK" w:hAnsi="方正小标宋_GBK" w:eastAsia="方正小标宋_GBK" w:cs="方正小标宋_GBK"/>
          <w:b w:val="0"/>
          <w:i w:val="0"/>
          <w:sz w:val="36"/>
          <w:szCs w:val="28"/>
        </w:rPr>
        <w:t>采购代理机构服务项目遴选方案</w:t>
      </w:r>
    </w:p>
    <w:p w14:paraId="0B5D6215">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p>
    <w:p w14:paraId="53ABED6A">
      <w:pPr>
        <w:spacing w:beforeAutospacing="0" w:afterAutospacing="0" w:line="579" w:lineRule="exact"/>
        <w:ind w:leftChars="0" w:rightChars="0" w:firstLine="632" w:firstLineChars="20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一、背景与目的</w:t>
      </w:r>
    </w:p>
    <w:p w14:paraId="48B6D532">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为</w:t>
      </w:r>
      <w:r>
        <w:rPr>
          <w:rFonts w:hint="eastAsia" w:hAnsi="方正仿宋_GBK" w:cs="方正仿宋_GBK"/>
          <w:b w:val="0"/>
          <w:i w:val="0"/>
          <w:sz w:val="32"/>
          <w:lang w:eastAsia="zh-CN"/>
        </w:rPr>
        <w:t>进一步</w:t>
      </w:r>
      <w:r>
        <w:rPr>
          <w:rFonts w:hint="eastAsia" w:ascii="Times New Roman" w:hAnsi="方正仿宋_GBK" w:eastAsia="方正仿宋_GBK" w:cs="方正仿宋_GBK"/>
          <w:b w:val="0"/>
          <w:i w:val="0"/>
          <w:sz w:val="32"/>
        </w:rPr>
        <w:t>提高采购效率和质量，</w:t>
      </w:r>
      <w:r>
        <w:rPr>
          <w:rFonts w:hint="eastAsia" w:hAnsi="方正仿宋_GBK" w:cs="方正仿宋_GBK"/>
          <w:b w:val="0"/>
          <w:i w:val="0"/>
          <w:sz w:val="32"/>
          <w:lang w:eastAsia="zh-CN"/>
        </w:rPr>
        <w:t>更</w:t>
      </w:r>
      <w:r>
        <w:rPr>
          <w:rFonts w:hint="eastAsia" w:ascii="Times New Roman" w:hAnsi="方正仿宋_GBK" w:eastAsia="方正仿宋_GBK" w:cs="方正仿宋_GBK"/>
          <w:b w:val="0"/>
          <w:i w:val="0"/>
          <w:sz w:val="32"/>
        </w:rPr>
        <w:t>有效防范风险，根据《中华人民共和国民法典》《中华人民共和国招标投标法》《中华人民共和国政府采购法》及相关法律法规，拟定本采购公告。</w:t>
      </w:r>
    </w:p>
    <w:p w14:paraId="1A9FA30E">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本次采购旨在确定2家具备相应资质和能力的招标代理机构，承担学校内控制度规定范围内的货物、服务和工程项目的招标代理工作。</w:t>
      </w:r>
    </w:p>
    <w:p w14:paraId="7806F1EA">
      <w:pPr>
        <w:spacing w:beforeAutospacing="0" w:afterAutospacing="0" w:line="579" w:lineRule="exact"/>
        <w:ind w:leftChars="0" w:rightChars="0" w:firstLine="632" w:firstLineChars="20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二、选聘原则</w:t>
      </w:r>
    </w:p>
    <w:p w14:paraId="0F7CA6D2">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（一）公开透明：</w:t>
      </w:r>
      <w:r>
        <w:rPr>
          <w:rFonts w:hint="eastAsia" w:ascii="Times New Roman" w:hAnsi="方正仿宋_GBK" w:eastAsia="方正仿宋_GBK" w:cs="方正仿宋_GBK"/>
          <w:b w:val="0"/>
          <w:i w:val="0"/>
          <w:sz w:val="32"/>
        </w:rPr>
        <w:t>选聘信息、标准、程序、结果全面公开。</w:t>
      </w:r>
    </w:p>
    <w:p w14:paraId="4371C325">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（二）公平公正：</w:t>
      </w:r>
      <w:r>
        <w:rPr>
          <w:rFonts w:hint="eastAsia" w:ascii="Times New Roman" w:hAnsi="方正仿宋_GBK" w:eastAsia="方正仿宋_GBK" w:cs="方正仿宋_GBK"/>
          <w:b w:val="0"/>
          <w:i w:val="0"/>
          <w:sz w:val="32"/>
        </w:rPr>
        <w:t>对所有符合条件的潜在投标人一视同仁。</w:t>
      </w:r>
    </w:p>
    <w:p w14:paraId="0EFD2E80">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（三）竞争择优：</w:t>
      </w:r>
      <w:r>
        <w:rPr>
          <w:rFonts w:hint="eastAsia" w:ascii="Times New Roman" w:hAnsi="方正仿宋_GBK" w:eastAsia="方正仿宋_GBK" w:cs="方正仿宋_GBK"/>
          <w:b w:val="0"/>
          <w:i w:val="0"/>
          <w:sz w:val="32"/>
        </w:rPr>
        <w:t>选聘综合实力强、专业水平高、服务质量优的机构。</w:t>
      </w:r>
    </w:p>
    <w:p w14:paraId="4866FF4B">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（四）诚实信用：</w:t>
      </w:r>
      <w:r>
        <w:rPr>
          <w:rFonts w:hint="eastAsia" w:ascii="Times New Roman" w:hAnsi="方正仿宋_GBK" w:eastAsia="方正仿宋_GBK" w:cs="方正仿宋_GBK"/>
          <w:b w:val="0"/>
          <w:i w:val="0"/>
          <w:sz w:val="32"/>
        </w:rPr>
        <w:t>参与各方应恪守诚信原则。</w:t>
      </w:r>
    </w:p>
    <w:p w14:paraId="07EF3D18">
      <w:pPr>
        <w:spacing w:beforeAutospacing="0" w:afterAutospacing="0" w:line="579" w:lineRule="exact"/>
        <w:ind w:leftChars="0" w:rightChars="0" w:firstLine="632" w:firstLineChars="20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三、选聘范围与资格要求</w:t>
      </w:r>
    </w:p>
    <w:p w14:paraId="23F177EE">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本次选聘面向社会公开进行，报名机构必须同时满足以下基本资格条件：</w:t>
      </w:r>
    </w:p>
    <w:p w14:paraId="47311435">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（一） 法定资格：</w:t>
      </w:r>
    </w:p>
    <w:p w14:paraId="316529BA">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（1）具有独立承担民事责任能力的法人或其他组织，持有有效的营业执照，具备有效期内的招标代理资格（需提供资格证明复印件并加盖公章），且在四川政府采购网代理登记注册（网站截图）。</w:t>
      </w:r>
    </w:p>
    <w:p w14:paraId="401AD2D7">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（2）公司</w:t>
      </w:r>
      <w:r>
        <w:rPr>
          <w:rFonts w:hint="eastAsia" w:hAnsi="方正仿宋_GBK" w:cs="方正仿宋_GBK"/>
          <w:b w:val="0"/>
          <w:i w:val="0"/>
          <w:sz w:val="32"/>
          <w:lang w:val="en-US" w:eastAsia="zh-CN"/>
        </w:rPr>
        <w:t>参加本次采购活动前</w:t>
      </w:r>
      <w:r>
        <w:rPr>
          <w:rFonts w:hint="eastAsia" w:ascii="Times New Roman" w:hAnsi="方正仿宋_GBK" w:eastAsia="方正仿宋_GBK" w:cs="方正仿宋_GBK"/>
          <w:b w:val="0"/>
          <w:i w:val="0"/>
          <w:sz w:val="32"/>
        </w:rPr>
        <w:t>三年（2023年、2024年、2025年）内，在经营活动中没有违规、违法受到监管部门处罚的证明材料（需提供书面声明并加盖公章）。</w:t>
      </w:r>
    </w:p>
    <w:p w14:paraId="30A6930B">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（3）具有良好的商业信誉和健全的财务会计制度（需提供近一年度经审计的财务报告或承诺函并加盖公章）。</w:t>
      </w:r>
    </w:p>
    <w:p w14:paraId="135601F7">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（二）专业能力要求：</w:t>
      </w:r>
    </w:p>
    <w:p w14:paraId="078984E6">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拥有与招标代理业务相适应的固定营业场所、开标评标场所及必要的录音录像、办公设备等设施条件（需提供现场图片和设备图片并加盖公章）。</w:t>
      </w:r>
    </w:p>
    <w:p w14:paraId="285F3787">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拥有一定数量熟悉相关法律法规、具备招标采购专业知识、实践经验丰富的专职人员（需提供主要专职人员名单、相关职业资格证书复印件并加盖公章）。</w:t>
      </w:r>
    </w:p>
    <w:p w14:paraId="11A90ABF">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具备完善的组织机构、健全的内部管理监督制度和规范的招标代理操作规程（提供相关佐证材料并加盖公章）。</w:t>
      </w:r>
    </w:p>
    <w:p w14:paraId="118FB156">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(三）业绩经验要求：</w:t>
      </w:r>
    </w:p>
    <w:p w14:paraId="162899B1">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参加此次采购活动</w:t>
      </w:r>
      <w:r>
        <w:rPr>
          <w:rFonts w:hint="eastAsia" w:hAnsi="方正仿宋_GBK" w:cs="方正仿宋_GBK"/>
          <w:b w:val="0"/>
          <w:i w:val="0"/>
          <w:sz w:val="32"/>
          <w:lang w:val="en-US" w:eastAsia="zh-CN"/>
        </w:rPr>
        <w:t>前三年</w:t>
      </w:r>
      <w:r>
        <w:rPr>
          <w:rFonts w:hint="eastAsia" w:ascii="Times New Roman" w:hAnsi="方正仿宋_GBK" w:eastAsia="方正仿宋_GBK" w:cs="方正仿宋_GBK"/>
          <w:b w:val="0"/>
          <w:i w:val="0"/>
          <w:sz w:val="32"/>
        </w:rPr>
        <w:t>内（2023年、2024年、2025年）承担过类似的学校、</w:t>
      </w:r>
      <w:bookmarkStart w:id="0" w:name="_GoBack"/>
      <w:bookmarkEnd w:id="0"/>
      <w:r>
        <w:rPr>
          <w:rFonts w:hint="eastAsia" w:ascii="Times New Roman" w:hAnsi="方正仿宋_GBK" w:eastAsia="方正仿宋_GBK" w:cs="方正仿宋_GBK"/>
          <w:b w:val="0"/>
          <w:i w:val="0"/>
          <w:sz w:val="32"/>
        </w:rPr>
        <w:t>事业单位或政府部门的货物、服务、工程类项目招标代理业绩（若有，需提供不超过3个典型业绩合同关键页复印件及项目中标通知书复印件并加盖公章）。</w:t>
      </w:r>
    </w:p>
    <w:p w14:paraId="1032B10D">
      <w:pPr>
        <w:spacing w:beforeAutospacing="0" w:afterAutospacing="0" w:line="579" w:lineRule="exact"/>
        <w:ind w:leftChars="0" w:rightChars="0" w:firstLine="632" w:firstLineChars="20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四、选聘程序</w:t>
      </w:r>
    </w:p>
    <w:p w14:paraId="68111972">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（一）获取选聘文件时间：</w:t>
      </w:r>
      <w:r>
        <w:rPr>
          <w:rFonts w:hint="eastAsia" w:ascii="Times New Roman" w:hAnsi="方正仿宋_GBK" w:eastAsia="方正仿宋_GBK" w:cs="方正仿宋_GBK"/>
          <w:b w:val="0"/>
          <w:i w:val="0"/>
          <w:sz w:val="32"/>
        </w:rPr>
        <w:t>2026年3月2</w:t>
      </w:r>
      <w:r>
        <w:rPr>
          <w:rFonts w:hint="eastAsia" w:hAnsi="方正仿宋_GBK" w:cs="方正仿宋_GBK"/>
          <w:b w:val="0"/>
          <w:i w:val="0"/>
          <w:sz w:val="32"/>
          <w:lang w:val="en-US" w:eastAsia="zh-CN"/>
        </w:rPr>
        <w:t>5</w:t>
      </w:r>
      <w:r>
        <w:rPr>
          <w:rFonts w:hint="eastAsia" w:ascii="Times New Roman" w:hAnsi="方正仿宋_GBK" w:eastAsia="方正仿宋_GBK" w:cs="方正仿宋_GBK"/>
          <w:b w:val="0"/>
          <w:i w:val="0"/>
          <w:sz w:val="32"/>
        </w:rPr>
        <w:t>日至3月2</w:t>
      </w:r>
      <w:r>
        <w:rPr>
          <w:rFonts w:hint="eastAsia" w:hAnsi="方正仿宋_GBK" w:cs="方正仿宋_GBK"/>
          <w:b w:val="0"/>
          <w:i w:val="0"/>
          <w:sz w:val="32"/>
          <w:lang w:val="en-US" w:eastAsia="zh-CN"/>
        </w:rPr>
        <w:t>9</w:t>
      </w:r>
      <w:r>
        <w:rPr>
          <w:rFonts w:hint="eastAsia" w:ascii="Times New Roman" w:hAnsi="方正仿宋_GBK" w:eastAsia="方正仿宋_GBK" w:cs="方正仿宋_GBK"/>
          <w:b w:val="0"/>
          <w:i w:val="0"/>
          <w:sz w:val="32"/>
        </w:rPr>
        <w:t>日</w:t>
      </w:r>
    </w:p>
    <w:p w14:paraId="6519ECFC">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（二）获取方式：</w:t>
      </w:r>
      <w:r>
        <w:rPr>
          <w:rFonts w:hint="eastAsia" w:ascii="Times New Roman" w:hAnsi="方正仿宋_GBK" w:eastAsia="方正仿宋_GBK" w:cs="方正仿宋_GBK"/>
          <w:b w:val="0"/>
          <w:i w:val="0"/>
          <w:sz w:val="32"/>
        </w:rPr>
        <w:t>学校网站自行下载</w:t>
      </w:r>
    </w:p>
    <w:p w14:paraId="32BB51FB">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（三）递交</w:t>
      </w:r>
      <w:r>
        <w:rPr>
          <w:rFonts w:hint="eastAsia" w:hAnsi="方正楷体_GBK" w:eastAsia="方正楷体_GBK" w:cs="方正楷体_GBK"/>
          <w:b w:val="0"/>
          <w:i w:val="0"/>
          <w:sz w:val="32"/>
          <w:lang w:eastAsia="zh-CN"/>
        </w:rPr>
        <w:t>响应</w:t>
      </w:r>
      <w:r>
        <w:rPr>
          <w:rFonts w:hint="eastAsia" w:ascii="Times New Roman" w:hAnsi="方正楷体_GBK" w:eastAsia="方正楷体_GBK" w:cs="方正楷体_GBK"/>
          <w:b w:val="0"/>
          <w:i w:val="0"/>
          <w:sz w:val="32"/>
        </w:rPr>
        <w:t>文件截止时间：</w:t>
      </w:r>
      <w:r>
        <w:rPr>
          <w:rFonts w:hint="eastAsia" w:ascii="Times New Roman" w:hAnsi="方正仿宋_GBK" w:eastAsia="方正仿宋_GBK" w:cs="方正仿宋_GBK"/>
          <w:b w:val="0"/>
          <w:i w:val="0"/>
          <w:sz w:val="32"/>
        </w:rPr>
        <w:t>2026年3月30日15时00分（北京时间）；</w:t>
      </w:r>
    </w:p>
    <w:p w14:paraId="3D0316B4">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评审时间：2026年3月30日16时00分（北京时间）；</w:t>
      </w:r>
    </w:p>
    <w:p w14:paraId="48263B7B">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评审地点</w:t>
      </w:r>
      <w:r>
        <w:rPr>
          <w:rFonts w:hint="eastAsia" w:hAnsi="方正仿宋_GBK" w:cs="方正仿宋_GBK"/>
          <w:b w:val="0"/>
          <w:i w:val="0"/>
          <w:sz w:val="32"/>
          <w:lang w:eastAsia="zh-CN"/>
        </w:rPr>
        <w:t>：</w:t>
      </w:r>
      <w:r>
        <w:rPr>
          <w:rFonts w:hint="eastAsia" w:ascii="Times New Roman" w:hAnsi="方正仿宋_GBK" w:eastAsia="方正仿宋_GBK" w:cs="方正仿宋_GBK"/>
          <w:b w:val="0"/>
          <w:i w:val="0"/>
          <w:sz w:val="32"/>
        </w:rPr>
        <w:t>广元市八二一中学二会议室；</w:t>
      </w:r>
    </w:p>
    <w:p w14:paraId="0FA18F42">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hAnsi="方正仿宋_GBK" w:cs="方正仿宋_GBK"/>
          <w:b w:val="0"/>
          <w:i w:val="0"/>
          <w:sz w:val="32"/>
          <w:lang w:eastAsia="zh-CN"/>
        </w:rPr>
        <w:t>响应</w:t>
      </w:r>
      <w:r>
        <w:rPr>
          <w:rFonts w:hint="eastAsia" w:ascii="Times New Roman" w:hAnsi="方正仿宋_GBK" w:eastAsia="方正仿宋_GBK" w:cs="方正仿宋_GBK"/>
          <w:b w:val="0"/>
          <w:i w:val="0"/>
          <w:sz w:val="32"/>
        </w:rPr>
        <w:t>文件递交地点：广元市八二一中学</w:t>
      </w:r>
      <w:r>
        <w:rPr>
          <w:rFonts w:hint="eastAsia" w:hAnsi="方正仿宋_GBK" w:cs="方正仿宋_GBK"/>
          <w:b w:val="0"/>
          <w:i w:val="0"/>
          <w:sz w:val="32"/>
          <w:lang w:eastAsia="zh-CN"/>
        </w:rPr>
        <w:t>总务科</w:t>
      </w:r>
      <w:r>
        <w:rPr>
          <w:rFonts w:hint="eastAsia" w:ascii="Times New Roman" w:hAnsi="方正仿宋_GBK" w:eastAsia="方正仿宋_GBK" w:cs="方正仿宋_GBK"/>
          <w:b w:val="0"/>
          <w:i w:val="0"/>
          <w:sz w:val="32"/>
        </w:rPr>
        <w:t>；</w:t>
      </w:r>
    </w:p>
    <w:p w14:paraId="022563F0">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申请人应在此之前将密封的申请文件送达该地点，逾期送达或未按规定密封的文件将被拒绝接收。参与机构不足3家，本次选聘工作终止，重新组织。</w:t>
      </w:r>
    </w:p>
    <w:p w14:paraId="6925294A">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（四）评审</w:t>
      </w:r>
      <w:r>
        <w:rPr>
          <w:rFonts w:hint="eastAsia" w:hAnsi="方正楷体_GBK" w:eastAsia="方正楷体_GBK" w:cs="方正楷体_GBK"/>
          <w:b w:val="0"/>
          <w:i w:val="0"/>
          <w:sz w:val="32"/>
          <w:lang w:eastAsia="zh-CN"/>
        </w:rPr>
        <w:t>内容</w:t>
      </w:r>
      <w:r>
        <w:rPr>
          <w:rFonts w:hint="eastAsia" w:ascii="Times New Roman" w:hAnsi="方正楷体_GBK" w:eastAsia="方正楷体_GBK" w:cs="方正楷体_GBK"/>
          <w:b w:val="0"/>
          <w:i w:val="0"/>
          <w:sz w:val="32"/>
        </w:rPr>
        <w:t>：</w:t>
      </w:r>
      <w:r>
        <w:rPr>
          <w:rFonts w:hint="eastAsia" w:ascii="Times New Roman" w:hAnsi="方正仿宋_GBK" w:eastAsia="方正仿宋_GBK" w:cs="方正仿宋_GBK"/>
          <w:b w:val="0"/>
          <w:i w:val="0"/>
          <w:sz w:val="32"/>
        </w:rPr>
        <w:t>学校组建评审专家组，对相关参与单位开展评审工作。专家组从建设工程评标专家名单中随机选取，由具备评标专家资格的人员3名及学校监督人员</w:t>
      </w:r>
      <w:r>
        <w:rPr>
          <w:rFonts w:hint="eastAsia" w:hAnsi="方正仿宋_GBK" w:cs="方正仿宋_GBK"/>
          <w:b w:val="0"/>
          <w:i w:val="0"/>
          <w:sz w:val="32"/>
          <w:lang w:val="en-US" w:eastAsia="zh-CN"/>
        </w:rPr>
        <w:t>2</w:t>
      </w:r>
      <w:r>
        <w:rPr>
          <w:rFonts w:hint="eastAsia" w:ascii="Times New Roman" w:hAnsi="方正仿宋_GBK" w:eastAsia="方正仿宋_GBK" w:cs="方正仿宋_GBK"/>
          <w:b w:val="0"/>
          <w:i w:val="0"/>
          <w:sz w:val="32"/>
        </w:rPr>
        <w:t>名共同组成。评标专家费用按照《四川省评标专家劳务费用标准指导意见》支付。</w:t>
      </w:r>
    </w:p>
    <w:p w14:paraId="4F89778F">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公司实力：公司规模、组织架构、发展状况、财务状况、在行业内的声誉等。</w:t>
      </w:r>
    </w:p>
    <w:p w14:paraId="07AB0415">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办公及设施条件：固定营业场所证明（产权或租赁合同）、开标评标场所（面积、环境、独立性）、录音录像监控设备、档案管理设施、办公设备配置、网络条件等是否满足要求并能有效保障招标活动顺利进行。</w:t>
      </w:r>
    </w:p>
    <w:p w14:paraId="7E41E287">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团队配置与专业水平：专职人员数量、结构、资质证书、工作经验、内部培训机制等。</w:t>
      </w:r>
    </w:p>
    <w:p w14:paraId="55BCC112">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评分：专家组按照详细评分表要求，进行打分。满分为100分。</w:t>
      </w:r>
    </w:p>
    <w:p w14:paraId="1DC23F48">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（五）综合评分与排序：</w:t>
      </w:r>
      <w:r>
        <w:rPr>
          <w:rFonts w:hint="eastAsia" w:ascii="Times New Roman" w:hAnsi="方正仿宋_GBK" w:eastAsia="方正仿宋_GBK" w:cs="方正仿宋_GBK"/>
          <w:b w:val="0"/>
          <w:i w:val="0"/>
          <w:sz w:val="32"/>
        </w:rPr>
        <w:t> </w:t>
      </w:r>
    </w:p>
    <w:p w14:paraId="457B7A0C">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计算各入围机构的最终总成绩，按总成绩从高到低排序，排序在前两位的机构确定为拟中标单位。</w:t>
      </w:r>
    </w:p>
    <w:p w14:paraId="78FB3427">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（六）结果审定与公示：</w:t>
      </w:r>
    </w:p>
    <w:p w14:paraId="633AE9F2">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选聘工作小组将选聘结果上报学校党委会审议，审议通过后确定拟选聘的2家代理机构名单，并在学校官网公示3个工作日。</w:t>
      </w:r>
    </w:p>
    <w:p w14:paraId="7E01D24B">
      <w:pPr>
        <w:spacing w:beforeAutospacing="0" w:afterAutospacing="0" w:line="579" w:lineRule="exact"/>
        <w:ind w:leftChars="0" w:rightChars="0" w:firstLine="632" w:firstLineChars="200"/>
        <w:jc w:val="left"/>
        <w:rPr>
          <w:rFonts w:hint="eastAsia" w:ascii="Times New Roman" w:hAnsi="方正仿宋_GBK" w:eastAsia="方正仿宋_GBK" w:cs="方正仿宋_GBK"/>
          <w:b w:val="0"/>
          <w:i w:val="0"/>
          <w:sz w:val="32"/>
        </w:rPr>
      </w:pPr>
      <w:r>
        <w:rPr>
          <w:rFonts w:hint="eastAsia" w:ascii="Times New Roman" w:hAnsi="方正楷体_GBK" w:eastAsia="方正楷体_GBK" w:cs="方正楷体_GBK"/>
          <w:b w:val="0"/>
          <w:i w:val="0"/>
          <w:sz w:val="32"/>
        </w:rPr>
        <w:t>（七）签订代理服务协议：</w:t>
      </w:r>
    </w:p>
    <w:p w14:paraId="6812A41F">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 </w:t>
      </w:r>
      <w:r>
        <w:rPr>
          <w:rFonts w:hint="eastAsia" w:hAnsi="方正仿宋_GBK" w:cs="方正仿宋_GBK"/>
          <w:b w:val="0"/>
          <w:i w:val="0"/>
          <w:sz w:val="32"/>
          <w:lang w:eastAsia="zh-CN"/>
        </w:rPr>
        <w:t>经</w:t>
      </w:r>
      <w:r>
        <w:rPr>
          <w:rFonts w:hint="eastAsia" w:ascii="Times New Roman" w:hAnsi="方正仿宋_GBK" w:eastAsia="方正仿宋_GBK" w:cs="方正仿宋_GBK"/>
          <w:b w:val="0"/>
          <w:i w:val="0"/>
          <w:sz w:val="32"/>
        </w:rPr>
        <w:t>公示无异议后，学校与选定的代理机构签订协议。服务期限自2026年4月7日至2029年4月6日。合同实行一年一签，年度服务经学校相关职能科室考核满意后，再按程序办理续签手续。</w:t>
      </w:r>
    </w:p>
    <w:p w14:paraId="6829793C">
      <w:pPr>
        <w:spacing w:beforeAutospacing="0" w:afterAutospacing="0" w:line="579" w:lineRule="exact"/>
        <w:ind w:leftChars="0" w:rightChars="0" w:firstLine="632" w:firstLineChars="20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五、评分标准细则</w:t>
      </w:r>
    </w:p>
    <w:tbl>
      <w:tblPr>
        <w:tblStyle w:val="8"/>
        <w:tblW w:w="1029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0"/>
        <w:gridCol w:w="1441"/>
        <w:gridCol w:w="848"/>
        <w:gridCol w:w="5680"/>
        <w:gridCol w:w="1678"/>
      </w:tblGrid>
      <w:tr w14:paraId="3C996F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6" w:hRule="atLeast"/>
          <w:jc w:val="center"/>
        </w:trPr>
        <w:tc>
          <w:tcPr>
            <w:tcW w:w="650" w:type="dxa"/>
            <w:vAlign w:val="center"/>
          </w:tcPr>
          <w:p w14:paraId="6BCC36D7">
            <w:pPr>
              <w:spacing w:line="400" w:lineRule="exact"/>
              <w:ind w:firstLine="28"/>
              <w:jc w:val="center"/>
              <w:rPr>
                <w:rFonts w:hint="eastAsia" w:ascii="仿宋_GB2312" w:hAnsi="仿宋_GB2312" w:eastAsia="仿宋_GB2312" w:cs="仿宋_GB2312"/>
                <w:sz w:val="32"/>
                <w:szCs w:val="32"/>
              </w:rPr>
            </w:pPr>
            <w:r>
              <w:rPr>
                <w:rFonts w:hint="eastAsia" w:ascii="仿宋_GB2312" w:hAnsi="仿宋_GB2312" w:eastAsia="仿宋_GB2312" w:cs="仿宋_GB2312"/>
                <w:b/>
                <w:color w:val="auto"/>
                <w:sz w:val="32"/>
                <w:szCs w:val="32"/>
              </w:rPr>
              <w:t>序号</w:t>
            </w:r>
          </w:p>
        </w:tc>
        <w:tc>
          <w:tcPr>
            <w:tcW w:w="1441" w:type="dxa"/>
            <w:vAlign w:val="center"/>
          </w:tcPr>
          <w:p w14:paraId="212A66CB">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bCs/>
                <w:caps/>
                <w:color w:val="auto"/>
                <w:sz w:val="32"/>
                <w:szCs w:val="32"/>
              </w:rPr>
              <w:t>评分因素及权重</w:t>
            </w:r>
          </w:p>
        </w:tc>
        <w:tc>
          <w:tcPr>
            <w:tcW w:w="848" w:type="dxa"/>
            <w:vAlign w:val="center"/>
          </w:tcPr>
          <w:p w14:paraId="0BCE726F">
            <w:pPr>
              <w:spacing w:line="400" w:lineRule="exact"/>
              <w:ind w:firstLine="28"/>
              <w:jc w:val="center"/>
              <w:rPr>
                <w:rFonts w:hint="eastAsia" w:ascii="仿宋_GB2312" w:hAnsi="仿宋_GB2312" w:eastAsia="仿宋_GB2312" w:cs="仿宋_GB2312"/>
                <w:sz w:val="32"/>
                <w:szCs w:val="32"/>
              </w:rPr>
            </w:pPr>
            <w:r>
              <w:rPr>
                <w:rFonts w:hint="eastAsia" w:ascii="仿宋_GB2312" w:hAnsi="仿宋_GB2312" w:eastAsia="仿宋_GB2312" w:cs="仿宋_GB2312"/>
                <w:b/>
                <w:color w:val="auto"/>
                <w:sz w:val="32"/>
                <w:szCs w:val="32"/>
              </w:rPr>
              <w:t>分值</w:t>
            </w:r>
          </w:p>
        </w:tc>
        <w:tc>
          <w:tcPr>
            <w:tcW w:w="5680" w:type="dxa"/>
            <w:vAlign w:val="center"/>
          </w:tcPr>
          <w:p w14:paraId="4B99B9AA">
            <w:pPr>
              <w:spacing w:line="400" w:lineRule="exact"/>
              <w:ind w:firstLine="28"/>
              <w:jc w:val="center"/>
              <w:rPr>
                <w:rFonts w:hint="eastAsia" w:ascii="仿宋_GB2312" w:hAnsi="仿宋_GB2312" w:eastAsia="仿宋_GB2312" w:cs="仿宋_GB2312"/>
                <w:sz w:val="32"/>
                <w:szCs w:val="32"/>
              </w:rPr>
            </w:pPr>
            <w:r>
              <w:rPr>
                <w:rFonts w:hint="eastAsia" w:ascii="仿宋_GB2312" w:hAnsi="仿宋_GB2312" w:eastAsia="仿宋_GB2312" w:cs="仿宋_GB2312"/>
                <w:b/>
                <w:color w:val="auto"/>
                <w:sz w:val="32"/>
                <w:szCs w:val="32"/>
              </w:rPr>
              <w:t>评分标准</w:t>
            </w:r>
          </w:p>
        </w:tc>
        <w:tc>
          <w:tcPr>
            <w:tcW w:w="1678" w:type="dxa"/>
            <w:vAlign w:val="center"/>
          </w:tcPr>
          <w:p w14:paraId="7651866E">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color w:val="auto"/>
                <w:sz w:val="32"/>
                <w:szCs w:val="32"/>
              </w:rPr>
              <w:t>备注</w:t>
            </w:r>
          </w:p>
        </w:tc>
      </w:tr>
      <w:tr w14:paraId="750F1B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80" w:hRule="atLeast"/>
          <w:jc w:val="center"/>
        </w:trPr>
        <w:tc>
          <w:tcPr>
            <w:tcW w:w="650" w:type="dxa"/>
            <w:vAlign w:val="center"/>
          </w:tcPr>
          <w:p w14:paraId="0257AED6">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1</w:t>
            </w:r>
          </w:p>
        </w:tc>
        <w:tc>
          <w:tcPr>
            <w:tcW w:w="1441" w:type="dxa"/>
            <w:vAlign w:val="center"/>
          </w:tcPr>
          <w:p w14:paraId="5996A033">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机构组织设置、场地及设施</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w:t>
            </w:r>
          </w:p>
        </w:tc>
        <w:tc>
          <w:tcPr>
            <w:tcW w:w="848" w:type="dxa"/>
            <w:vAlign w:val="center"/>
          </w:tcPr>
          <w:p w14:paraId="2E7F2D66">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分</w:t>
            </w:r>
          </w:p>
        </w:tc>
        <w:tc>
          <w:tcPr>
            <w:tcW w:w="5680" w:type="dxa"/>
            <w:vAlign w:val="center"/>
          </w:tcPr>
          <w:p w14:paraId="7D85D6BA">
            <w:pPr>
              <w:ind w:firstLine="632"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遴选</w:t>
            </w:r>
            <w:r>
              <w:rPr>
                <w:rFonts w:hint="eastAsia" w:ascii="仿宋_GB2312" w:hAnsi="仿宋_GB2312" w:eastAsia="仿宋_GB2312" w:cs="仿宋_GB2312"/>
                <w:color w:val="auto"/>
                <w:sz w:val="32"/>
                <w:szCs w:val="32"/>
              </w:rPr>
              <w:t>申请人具有固定</w:t>
            </w:r>
            <w:r>
              <w:rPr>
                <w:rFonts w:hint="eastAsia" w:ascii="仿宋_GB2312" w:hAnsi="仿宋_GB2312" w:eastAsia="仿宋_GB2312" w:cs="仿宋_GB2312"/>
                <w:color w:val="auto"/>
                <w:sz w:val="32"/>
                <w:szCs w:val="32"/>
                <w:lang w:val="en-US" w:eastAsia="zh-CN"/>
              </w:rPr>
              <w:t>不小于120平方米</w:t>
            </w:r>
            <w:r>
              <w:rPr>
                <w:rFonts w:hint="eastAsia" w:ascii="仿宋_GB2312" w:hAnsi="仿宋_GB2312" w:eastAsia="仿宋_GB2312" w:cs="仿宋_GB2312"/>
                <w:color w:val="auto"/>
                <w:sz w:val="32"/>
                <w:szCs w:val="32"/>
              </w:rPr>
              <w:t>的办公场所、有门禁系统、有独立的开评标室，有独立的现场监督室、录像录音设施完备，配备齐全的得</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分，每缺少一项扣</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分。</w:t>
            </w:r>
          </w:p>
          <w:p w14:paraId="754ABDCA">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2.具备电子化评审条件并配备相关的硬件设施设备得</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没有不得分。（提供硬件设施设备照片）</w:t>
            </w:r>
          </w:p>
        </w:tc>
        <w:tc>
          <w:tcPr>
            <w:tcW w:w="1678" w:type="dxa"/>
            <w:vAlign w:val="center"/>
          </w:tcPr>
          <w:p w14:paraId="3F6F2013">
            <w:pPr>
              <w:jc w:val="both"/>
              <w:rPr>
                <w:rFonts w:hint="eastAsia" w:ascii="仿宋_GB2312" w:hAnsi="仿宋_GB2312" w:eastAsia="仿宋_GB2312" w:cs="仿宋_GB2312"/>
                <w:sz w:val="32"/>
                <w:szCs w:val="32"/>
              </w:rPr>
            </w:pPr>
          </w:p>
        </w:tc>
      </w:tr>
      <w:tr w14:paraId="0441A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3" w:hRule="atLeast"/>
          <w:jc w:val="center"/>
        </w:trPr>
        <w:tc>
          <w:tcPr>
            <w:tcW w:w="650" w:type="dxa"/>
            <w:vAlign w:val="center"/>
          </w:tcPr>
          <w:p w14:paraId="519E52AA">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1441" w:type="dxa"/>
            <w:vAlign w:val="center"/>
          </w:tcPr>
          <w:p w14:paraId="1A974291">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服务方案及代理流程</w:t>
            </w: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w:t>
            </w:r>
          </w:p>
        </w:tc>
        <w:tc>
          <w:tcPr>
            <w:tcW w:w="848" w:type="dxa"/>
            <w:vAlign w:val="center"/>
          </w:tcPr>
          <w:p w14:paraId="378EC822">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分</w:t>
            </w:r>
          </w:p>
        </w:tc>
        <w:tc>
          <w:tcPr>
            <w:tcW w:w="5680" w:type="dxa"/>
            <w:vAlign w:val="center"/>
          </w:tcPr>
          <w:p w14:paraId="79E6E7D2">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代理机构根据我单位实际项目招标采购特点提供的服务方案及流程</w:t>
            </w:r>
            <w:r>
              <w:rPr>
                <w:rFonts w:hint="eastAsia" w:ascii="仿宋_GB2312" w:hAnsi="仿宋_GB2312" w:eastAsia="仿宋_GB2312" w:cs="仿宋_GB2312"/>
                <w:color w:val="auto"/>
                <w:sz w:val="32"/>
                <w:szCs w:val="32"/>
                <w:lang w:eastAsia="zh-CN"/>
              </w:rPr>
              <w:t>翔实</w:t>
            </w:r>
            <w:r>
              <w:rPr>
                <w:rFonts w:hint="eastAsia" w:ascii="仿宋_GB2312" w:hAnsi="仿宋_GB2312" w:eastAsia="仿宋_GB2312" w:cs="仿宋_GB2312"/>
                <w:color w:val="auto"/>
                <w:sz w:val="32"/>
                <w:szCs w:val="32"/>
              </w:rPr>
              <w:t>、有效、可操作性等方面进行综合评定打分：服务方案及流程</w:t>
            </w:r>
            <w:r>
              <w:rPr>
                <w:rFonts w:hint="eastAsia" w:ascii="仿宋_GB2312" w:hAnsi="仿宋_GB2312" w:eastAsia="仿宋_GB2312" w:cs="仿宋_GB2312"/>
                <w:color w:val="auto"/>
                <w:sz w:val="32"/>
                <w:szCs w:val="32"/>
                <w:lang w:val="en-US" w:eastAsia="zh-CN"/>
              </w:rPr>
              <w:t>优秀得40—53分，良得39—20分，一般得19—10分，差不得分。</w:t>
            </w:r>
          </w:p>
        </w:tc>
        <w:tc>
          <w:tcPr>
            <w:tcW w:w="1678" w:type="dxa"/>
            <w:vAlign w:val="center"/>
          </w:tcPr>
          <w:p w14:paraId="3F672BB0">
            <w:pPr>
              <w:rPr>
                <w:rFonts w:hint="eastAsia" w:ascii="仿宋_GB2312" w:hAnsi="仿宋_GB2312" w:eastAsia="仿宋_GB2312" w:cs="仿宋_GB2312"/>
                <w:sz w:val="32"/>
                <w:szCs w:val="32"/>
              </w:rPr>
            </w:pPr>
          </w:p>
        </w:tc>
      </w:tr>
      <w:tr w14:paraId="037011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4" w:hRule="atLeast"/>
          <w:jc w:val="center"/>
        </w:trPr>
        <w:tc>
          <w:tcPr>
            <w:tcW w:w="650" w:type="dxa"/>
            <w:vMerge w:val="restart"/>
            <w:tcBorders>
              <w:bottom w:val="nil"/>
            </w:tcBorders>
            <w:vAlign w:val="center"/>
          </w:tcPr>
          <w:p w14:paraId="4817AA92">
            <w:pPr>
              <w:jc w:val="center"/>
              <w:rPr>
                <w:rFonts w:hint="eastAsia" w:ascii="仿宋_GB2312" w:hAnsi="仿宋_GB2312" w:eastAsia="仿宋_GB2312" w:cs="仿宋_GB2312"/>
                <w:color w:val="auto"/>
                <w:sz w:val="32"/>
                <w:szCs w:val="32"/>
              </w:rPr>
            </w:pPr>
          </w:p>
          <w:p w14:paraId="1F8FBF50">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1441" w:type="dxa"/>
            <w:vMerge w:val="restart"/>
            <w:tcBorders>
              <w:bottom w:val="nil"/>
            </w:tcBorders>
            <w:vAlign w:val="center"/>
          </w:tcPr>
          <w:p w14:paraId="28C570B6">
            <w:pP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履约能力</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w:t>
            </w:r>
          </w:p>
        </w:tc>
        <w:tc>
          <w:tcPr>
            <w:tcW w:w="848" w:type="dxa"/>
            <w:vAlign w:val="center"/>
          </w:tcPr>
          <w:p w14:paraId="176E6D3B">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分</w:t>
            </w:r>
          </w:p>
        </w:tc>
        <w:tc>
          <w:tcPr>
            <w:tcW w:w="5680" w:type="dxa"/>
            <w:vAlign w:val="center"/>
          </w:tcPr>
          <w:p w14:paraId="741EB5A0">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代理机构提供的（202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年至今）以来代理的政府采购项目数量评定：提供</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14:textFill>
                  <w14:solidFill>
                    <w14:schemeClr w14:val="tx1"/>
                  </w14:solidFill>
                </w14:textFill>
              </w:rPr>
              <w:t>份佐证资料齐全得20分，提供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19</w:t>
            </w:r>
            <w:r>
              <w:rPr>
                <w:rFonts w:hint="eastAsia" w:ascii="仿宋_GB2312" w:hAnsi="仿宋_GB2312" w:eastAsia="仿宋_GB2312" w:cs="仿宋_GB2312"/>
                <w:color w:val="000000" w:themeColor="text1"/>
                <w:sz w:val="32"/>
                <w:szCs w:val="32"/>
                <w14:textFill>
                  <w14:solidFill>
                    <w14:schemeClr w14:val="tx1"/>
                  </w14:solidFill>
                </w14:textFill>
              </w:rPr>
              <w:t>份到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份佐证资料齐全得15分，10份及以下佐证资料齐全得10分。</w:t>
            </w:r>
          </w:p>
        </w:tc>
        <w:tc>
          <w:tcPr>
            <w:tcW w:w="1678" w:type="dxa"/>
            <w:vAlign w:val="center"/>
          </w:tcPr>
          <w:p w14:paraId="0CC4E3DE">
            <w:pPr>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提供代理协议复印件并盖公章</w:t>
            </w:r>
          </w:p>
        </w:tc>
      </w:tr>
      <w:tr w14:paraId="5F6037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2" w:hRule="atLeast"/>
          <w:jc w:val="center"/>
        </w:trPr>
        <w:tc>
          <w:tcPr>
            <w:tcW w:w="650" w:type="dxa"/>
            <w:vMerge w:val="continue"/>
            <w:tcBorders>
              <w:top w:val="nil"/>
              <w:bottom w:val="single" w:color="auto" w:sz="4" w:space="0"/>
            </w:tcBorders>
            <w:vAlign w:val="center"/>
          </w:tcPr>
          <w:p w14:paraId="1FF59DC4">
            <w:pPr>
              <w:jc w:val="center"/>
              <w:rPr>
                <w:rFonts w:hint="eastAsia" w:ascii="仿宋_GB2312" w:hAnsi="仿宋_GB2312" w:eastAsia="仿宋_GB2312" w:cs="仿宋_GB2312"/>
                <w:sz w:val="32"/>
                <w:szCs w:val="32"/>
              </w:rPr>
            </w:pPr>
          </w:p>
        </w:tc>
        <w:tc>
          <w:tcPr>
            <w:tcW w:w="1441" w:type="dxa"/>
            <w:vMerge w:val="continue"/>
            <w:tcBorders>
              <w:top w:val="nil"/>
              <w:bottom w:val="single" w:color="auto" w:sz="4" w:space="0"/>
            </w:tcBorders>
            <w:vAlign w:val="center"/>
          </w:tcPr>
          <w:p w14:paraId="479602E2">
            <w:pPr>
              <w:rPr>
                <w:rFonts w:hint="eastAsia" w:ascii="仿宋_GB2312" w:hAnsi="仿宋_GB2312" w:eastAsia="仿宋_GB2312" w:cs="仿宋_GB2312"/>
                <w:sz w:val="32"/>
                <w:szCs w:val="32"/>
              </w:rPr>
            </w:pPr>
          </w:p>
        </w:tc>
        <w:tc>
          <w:tcPr>
            <w:tcW w:w="848" w:type="dxa"/>
            <w:vAlign w:val="center"/>
          </w:tcPr>
          <w:p w14:paraId="2B2079EF">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分</w:t>
            </w:r>
          </w:p>
        </w:tc>
        <w:tc>
          <w:tcPr>
            <w:tcW w:w="5680" w:type="dxa"/>
            <w:vAlign w:val="center"/>
          </w:tcPr>
          <w:p w14:paraId="22D51EA0">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提供 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年以来服务过的实施单位或者相关管理部门对其履约评价为满意的签章证明文件，有一份得</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 xml:space="preserve">分，最多得 </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分。</w:t>
            </w:r>
          </w:p>
        </w:tc>
        <w:tc>
          <w:tcPr>
            <w:tcW w:w="1678" w:type="dxa"/>
            <w:vAlign w:val="center"/>
          </w:tcPr>
          <w:p w14:paraId="0DDF0A7D">
            <w:pPr>
              <w:jc w:val="both"/>
              <w:rPr>
                <w:rFonts w:hint="eastAsia" w:ascii="仿宋_GB2312" w:hAnsi="仿宋_GB2312" w:eastAsia="仿宋_GB2312" w:cs="仿宋_GB2312"/>
                <w:sz w:val="32"/>
                <w:szCs w:val="32"/>
              </w:rPr>
            </w:pPr>
          </w:p>
        </w:tc>
      </w:tr>
      <w:tr w14:paraId="5104B7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3" w:hRule="atLeast"/>
          <w:jc w:val="center"/>
        </w:trPr>
        <w:tc>
          <w:tcPr>
            <w:tcW w:w="650" w:type="dxa"/>
            <w:tcBorders>
              <w:top w:val="single" w:color="auto" w:sz="4" w:space="0"/>
              <w:left w:val="single" w:color="auto" w:sz="4" w:space="0"/>
              <w:bottom w:val="single" w:color="auto" w:sz="4" w:space="0"/>
            </w:tcBorders>
            <w:vAlign w:val="center"/>
          </w:tcPr>
          <w:p w14:paraId="718204F7">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1441" w:type="dxa"/>
            <w:tcBorders>
              <w:top w:val="single" w:color="auto" w:sz="4" w:space="0"/>
              <w:bottom w:val="single" w:color="auto" w:sz="4" w:space="0"/>
              <w:right w:val="single" w:color="auto" w:sz="4" w:space="0"/>
            </w:tcBorders>
            <w:vAlign w:val="center"/>
          </w:tcPr>
          <w:p w14:paraId="1916A793">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响应文件规范性</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p>
        </w:tc>
        <w:tc>
          <w:tcPr>
            <w:tcW w:w="848" w:type="dxa"/>
            <w:tcBorders>
              <w:left w:val="single" w:color="auto" w:sz="4" w:space="0"/>
            </w:tcBorders>
            <w:vAlign w:val="center"/>
          </w:tcPr>
          <w:p w14:paraId="18F852C8">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分</w:t>
            </w:r>
          </w:p>
        </w:tc>
        <w:tc>
          <w:tcPr>
            <w:tcW w:w="5680" w:type="dxa"/>
            <w:vAlign w:val="center"/>
          </w:tcPr>
          <w:p w14:paraId="79E1B130">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响应文件制作规范，没有细微偏差情形的得</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分；有一项细微偏差扣0.5分，直至该项分值扣完为止。</w:t>
            </w:r>
          </w:p>
        </w:tc>
        <w:tc>
          <w:tcPr>
            <w:tcW w:w="1678" w:type="dxa"/>
            <w:vAlign w:val="center"/>
          </w:tcPr>
          <w:p w14:paraId="27736C2C">
            <w:pPr>
              <w:rPr>
                <w:rFonts w:hint="eastAsia" w:ascii="仿宋_GB2312" w:hAnsi="仿宋_GB2312" w:eastAsia="仿宋_GB2312" w:cs="仿宋_GB2312"/>
                <w:sz w:val="32"/>
                <w:szCs w:val="32"/>
              </w:rPr>
            </w:pPr>
          </w:p>
        </w:tc>
      </w:tr>
    </w:tbl>
    <w:p w14:paraId="3F28125D">
      <w:pPr>
        <w:spacing w:beforeAutospacing="0" w:afterAutospacing="0" w:line="579" w:lineRule="exact"/>
        <w:ind w:rightChars="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六、工作要求与纪律</w:t>
      </w:r>
    </w:p>
    <w:p w14:paraId="323448C4">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cs="方正仿宋_GBK"/>
          <w:b w:val="0"/>
          <w:i w:val="0"/>
          <w:sz w:val="32"/>
          <w:lang w:val="en-US" w:eastAsia="zh-CN"/>
        </w:rPr>
        <w:t>1.</w:t>
      </w:r>
      <w:r>
        <w:rPr>
          <w:rFonts w:hint="eastAsia" w:ascii="Times New Roman" w:hAnsi="方正仿宋_GBK" w:eastAsia="方正仿宋_GBK" w:cs="方正仿宋_GBK"/>
          <w:b w:val="0"/>
          <w:i w:val="0"/>
          <w:sz w:val="32"/>
        </w:rPr>
        <w:t>选聘工作小组及其成员应严格遵守工作纪律和保密规定，坚持原则，廉洁自律，客观公正。</w:t>
      </w:r>
    </w:p>
    <w:p w14:paraId="63F062C7">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cs="方正仿宋_GBK"/>
          <w:b w:val="0"/>
          <w:i w:val="0"/>
          <w:sz w:val="32"/>
          <w:lang w:val="en-US" w:eastAsia="zh-CN"/>
        </w:rPr>
        <w:t>2.</w:t>
      </w:r>
      <w:r>
        <w:rPr>
          <w:rFonts w:hint="eastAsia" w:ascii="Times New Roman" w:hAnsi="方正仿宋_GBK" w:eastAsia="方正仿宋_GBK" w:cs="方正仿宋_GBK"/>
          <w:b w:val="0"/>
          <w:i w:val="0"/>
          <w:sz w:val="32"/>
        </w:rPr>
        <w:t>学校纪检部门对选聘全过程进行监督，受理相关投诉和举报。</w:t>
      </w:r>
    </w:p>
    <w:p w14:paraId="200FFF29">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cs="方正仿宋_GBK"/>
          <w:b w:val="0"/>
          <w:i w:val="0"/>
          <w:sz w:val="32"/>
          <w:lang w:val="en-US" w:eastAsia="zh-CN"/>
        </w:rPr>
        <w:t>3.</w:t>
      </w:r>
      <w:r>
        <w:rPr>
          <w:rFonts w:hint="eastAsia" w:ascii="Times New Roman" w:hAnsi="方正仿宋_GBK" w:eastAsia="方正仿宋_GBK" w:cs="方正仿宋_GBK"/>
          <w:b w:val="0"/>
          <w:i w:val="0"/>
          <w:sz w:val="32"/>
        </w:rPr>
        <w:t> 参与选聘的机构应对其提交材料的真实性、准确性、完整性负责，如有弄虚作假，一经查实，立即取消资格，并列入学校供应商不诚信名单。</w:t>
      </w:r>
    </w:p>
    <w:p w14:paraId="11DFCB82">
      <w:pPr>
        <w:spacing w:beforeAutospacing="0" w:afterAutospacing="0" w:line="579" w:lineRule="exact"/>
        <w:ind w:leftChars="0" w:rightChars="0" w:firstLine="632" w:firstLineChars="200"/>
        <w:jc w:val="left"/>
        <w:rPr>
          <w:rFonts w:hint="eastAsia" w:ascii="Times New Roman" w:hAnsi="方正黑体_GBK" w:eastAsia="方正黑体_GBK" w:cs="方正黑体_GBK"/>
          <w:b w:val="0"/>
          <w:i w:val="0"/>
          <w:sz w:val="32"/>
        </w:rPr>
      </w:pPr>
      <w:r>
        <w:rPr>
          <w:rFonts w:hint="eastAsia" w:ascii="Times New Roman" w:hAnsi="方正黑体_GBK" w:eastAsia="方正黑体_GBK" w:cs="方正黑体_GBK"/>
          <w:b w:val="0"/>
          <w:i w:val="0"/>
          <w:sz w:val="32"/>
        </w:rPr>
        <w:t>七、联系方式</w:t>
      </w:r>
    </w:p>
    <w:p w14:paraId="233E8817">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联系 人：宁老师</w:t>
      </w:r>
    </w:p>
    <w:p w14:paraId="302B9912">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r>
        <w:rPr>
          <w:rFonts w:hint="eastAsia" w:ascii="Times New Roman" w:hAnsi="方正仿宋_GBK" w:eastAsia="方正仿宋_GBK" w:cs="方正仿宋_GBK"/>
          <w:b w:val="0"/>
          <w:i w:val="0"/>
          <w:sz w:val="32"/>
        </w:rPr>
        <w:t>联系电话：0839-3370230  </w:t>
      </w:r>
    </w:p>
    <w:p w14:paraId="1B5F5B4B">
      <w:pPr>
        <w:spacing w:beforeAutospacing="0" w:afterAutospacing="0" w:line="579" w:lineRule="exact"/>
        <w:ind w:leftChars="0" w:rightChars="0" w:firstLine="632" w:firstLineChars="200"/>
        <w:jc w:val="both"/>
        <w:rPr>
          <w:rFonts w:hint="eastAsia" w:ascii="Times New Roman" w:hAnsi="方正仿宋_GBK" w:eastAsia="方正仿宋_GBK" w:cs="方正仿宋_GBK"/>
          <w:b w:val="0"/>
          <w:i w:val="0"/>
          <w:sz w:val="32"/>
        </w:rPr>
      </w:pPr>
    </w:p>
    <w:sectPr>
      <w:headerReference r:id="rId3" w:type="first"/>
      <w:footerReference r:id="rId6" w:type="first"/>
      <w:footerReference r:id="rId4" w:type="default"/>
      <w:footerReference r:id="rId5" w:type="even"/>
      <w:pgSz w:w="11906" w:h="16838"/>
      <w:pgMar w:top="2098" w:right="1474" w:bottom="1984" w:left="1588" w:header="851" w:footer="1474" w:gutter="0"/>
      <w:lnNumType w:countBy="0" w:restart="continuous"/>
      <w:cols w:space="425"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82016" w:usb3="00000000" w:csb0="00040001" w:csb1="00000000"/>
  </w:font>
  <w:font w:name="方正楷体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4FC40">
    <w:pPr>
      <w:pStyle w:val="4"/>
      <w:pBdr>
        <w:top w:val="none" w:color="auto" w:sz="0" w:space="0"/>
        <w:bottom w:val="none" w:color="auto" w:sz="0" w:space="0"/>
      </w:pBdr>
      <w:ind w:right="320" w:rightChars="100"/>
      <w:jc w:val="right"/>
      <w:rPr>
        <w:rFonts w:hint="eastAsia" w:ascii="宋体" w:hAnsi="宋体" w:eastAsia="宋体" w:cs="宋体"/>
        <w:sz w:val="28"/>
        <w:lang w:eastAsia="zh-CN"/>
      </w:rPr>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Arabic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1</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8ACB4">
    <w:pPr>
      <w:pStyle w:val="4"/>
      <w:pBdr>
        <w:top w:val="none" w:color="auto" w:sz="0" w:space="0"/>
        <w:bottom w:val="none" w:color="auto" w:sz="0" w:space="0"/>
      </w:pBdr>
      <w:ind w:firstLine="280" w:firstLineChars="100"/>
      <w:jc w:val="left"/>
      <w:rPr>
        <w:rFonts w:hint="eastAsia" w:ascii="宋体" w:hAnsi="宋体" w:eastAsia="宋体" w:cs="宋体"/>
        <w:sz w:val="28"/>
        <w:lang w:eastAsia="zh-CN"/>
      </w:rPr>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Arabic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2</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F7A89">
    <w:pPr>
      <w:pStyle w:val="4"/>
      <w:pBdr>
        <w:top w:val="none" w:color="auto" w:sz="0" w:space="0"/>
        <w:bottom w:val="none" w:color="auto" w:sz="0" w:space="0"/>
      </w:pBd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2959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YzZlMTI2YmM3YjIzYTU2YTNiNGNmOTdlYmJmYjkifQ=="/>
  </w:docVars>
  <w:rsids>
    <w:rsidRoot w:val="069D5B2A"/>
    <w:rsid w:val="00684030"/>
    <w:rsid w:val="00E4669E"/>
    <w:rsid w:val="026E13C2"/>
    <w:rsid w:val="02AF3E19"/>
    <w:rsid w:val="042A3A47"/>
    <w:rsid w:val="06351C25"/>
    <w:rsid w:val="069D5B2A"/>
    <w:rsid w:val="08AA0601"/>
    <w:rsid w:val="0A134092"/>
    <w:rsid w:val="0A333B18"/>
    <w:rsid w:val="0A615FDB"/>
    <w:rsid w:val="0B0E431E"/>
    <w:rsid w:val="0B5221AF"/>
    <w:rsid w:val="0B61144B"/>
    <w:rsid w:val="0BCA5A03"/>
    <w:rsid w:val="0C324B95"/>
    <w:rsid w:val="0CC47F74"/>
    <w:rsid w:val="0D1813BA"/>
    <w:rsid w:val="107A38C0"/>
    <w:rsid w:val="111C0DE0"/>
    <w:rsid w:val="117108DB"/>
    <w:rsid w:val="11E8713C"/>
    <w:rsid w:val="12723E74"/>
    <w:rsid w:val="12F22835"/>
    <w:rsid w:val="131B5CEA"/>
    <w:rsid w:val="14686756"/>
    <w:rsid w:val="18EB4A4A"/>
    <w:rsid w:val="197C5DAD"/>
    <w:rsid w:val="199624B8"/>
    <w:rsid w:val="1A9B4CAE"/>
    <w:rsid w:val="1C5E2D30"/>
    <w:rsid w:val="1D827B77"/>
    <w:rsid w:val="1DD04CB4"/>
    <w:rsid w:val="1E1172D3"/>
    <w:rsid w:val="1E9163CE"/>
    <w:rsid w:val="1F5570C1"/>
    <w:rsid w:val="20435C16"/>
    <w:rsid w:val="20B65606"/>
    <w:rsid w:val="22F42369"/>
    <w:rsid w:val="23A82724"/>
    <w:rsid w:val="23C97DA7"/>
    <w:rsid w:val="25246D8F"/>
    <w:rsid w:val="258A287A"/>
    <w:rsid w:val="2A5178C7"/>
    <w:rsid w:val="2D7745C4"/>
    <w:rsid w:val="2D861347"/>
    <w:rsid w:val="2DBE3CB0"/>
    <w:rsid w:val="2EA23D0C"/>
    <w:rsid w:val="2EE62049"/>
    <w:rsid w:val="2F367505"/>
    <w:rsid w:val="30265F6A"/>
    <w:rsid w:val="30480822"/>
    <w:rsid w:val="306B356C"/>
    <w:rsid w:val="314D202B"/>
    <w:rsid w:val="31FA3C94"/>
    <w:rsid w:val="32DA44F0"/>
    <w:rsid w:val="338342F2"/>
    <w:rsid w:val="37C45426"/>
    <w:rsid w:val="37F00D90"/>
    <w:rsid w:val="37F1329C"/>
    <w:rsid w:val="38907475"/>
    <w:rsid w:val="38912941"/>
    <w:rsid w:val="39A42A1E"/>
    <w:rsid w:val="3AED33A6"/>
    <w:rsid w:val="3E0176E5"/>
    <w:rsid w:val="40511753"/>
    <w:rsid w:val="42AE4154"/>
    <w:rsid w:val="42FD3CF8"/>
    <w:rsid w:val="433573A7"/>
    <w:rsid w:val="456D3396"/>
    <w:rsid w:val="48382717"/>
    <w:rsid w:val="493C3C7E"/>
    <w:rsid w:val="49887D00"/>
    <w:rsid w:val="4C3E2501"/>
    <w:rsid w:val="4CC023A8"/>
    <w:rsid w:val="4E4E4FFF"/>
    <w:rsid w:val="4E782FE8"/>
    <w:rsid w:val="4ECD25C4"/>
    <w:rsid w:val="4F0219DA"/>
    <w:rsid w:val="50F77ADD"/>
    <w:rsid w:val="5142346A"/>
    <w:rsid w:val="51514DB3"/>
    <w:rsid w:val="53466D73"/>
    <w:rsid w:val="567E0728"/>
    <w:rsid w:val="568F4B6E"/>
    <w:rsid w:val="58AE0804"/>
    <w:rsid w:val="599E63D6"/>
    <w:rsid w:val="59DD570D"/>
    <w:rsid w:val="5B927A9B"/>
    <w:rsid w:val="5CFE7430"/>
    <w:rsid w:val="5DA96CF9"/>
    <w:rsid w:val="5DB46C14"/>
    <w:rsid w:val="5E6D4A94"/>
    <w:rsid w:val="6019766C"/>
    <w:rsid w:val="61290188"/>
    <w:rsid w:val="61B01959"/>
    <w:rsid w:val="61D045F9"/>
    <w:rsid w:val="62CC4C14"/>
    <w:rsid w:val="632907B7"/>
    <w:rsid w:val="635D233B"/>
    <w:rsid w:val="64262165"/>
    <w:rsid w:val="643531A9"/>
    <w:rsid w:val="64B268A0"/>
    <w:rsid w:val="65042F3E"/>
    <w:rsid w:val="65D676FC"/>
    <w:rsid w:val="66E128CB"/>
    <w:rsid w:val="683E2CD6"/>
    <w:rsid w:val="68CB6608"/>
    <w:rsid w:val="69243DFE"/>
    <w:rsid w:val="6AE73083"/>
    <w:rsid w:val="6C181234"/>
    <w:rsid w:val="6C2F06A5"/>
    <w:rsid w:val="6C7D3833"/>
    <w:rsid w:val="6D9175AA"/>
    <w:rsid w:val="6DB620A5"/>
    <w:rsid w:val="6DC959B3"/>
    <w:rsid w:val="6E3A0262"/>
    <w:rsid w:val="6E7D1F17"/>
    <w:rsid w:val="6FDB5DF3"/>
    <w:rsid w:val="705C3E41"/>
    <w:rsid w:val="706A7307"/>
    <w:rsid w:val="7318110C"/>
    <w:rsid w:val="735E0012"/>
    <w:rsid w:val="753853BA"/>
    <w:rsid w:val="75AE311E"/>
    <w:rsid w:val="75E308FE"/>
    <w:rsid w:val="76F125B0"/>
    <w:rsid w:val="783325E4"/>
    <w:rsid w:val="786D3CA8"/>
    <w:rsid w:val="78F97432"/>
    <w:rsid w:val="792A1003"/>
    <w:rsid w:val="7B3D79A6"/>
    <w:rsid w:val="7B59303D"/>
    <w:rsid w:val="7E6C0B52"/>
    <w:rsid w:val="7EA72608"/>
    <w:rsid w:val="7EDD7D0C"/>
    <w:rsid w:val="A5718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rPr>
  </w:style>
  <w:style w:type="paragraph" w:styleId="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2172</Words>
  <Characters>2265</Characters>
  <Lines>0</Lines>
  <Paragraphs>0</Paragraphs>
  <TotalTime>3</TotalTime>
  <ScaleCrop>false</ScaleCrop>
  <LinksUpToDate>false</LinksUpToDate>
  <CharactersWithSpaces>2288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2026-03-23T17:57:00Z</dcterms:created>
  <dc:creator>李全甫</dc:creator>
  <cp:lastModifiedBy>shayla</cp:lastModifiedBy>
  <dcterms:modified xsi:type="dcterms:W3CDTF">2026-03-24T02:45:32Z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266D52A85A0B4571964F6C69A17360B8_13</vt:lpwstr>
  </property>
  <property fmtid="{D5CDD505-2E9C-101B-9397-08002B2CF9AE}" pid="4" name="KSOTemplateDocerSaveRecord">
    <vt:lpwstr>eyJoZGlkIjoiODU2NjkxYzIzYmY1MGE3NjlmYTIyZjY3Zjc2ODM3OTQiLCJ1c2VySWQiOiI0MTk0MDE0MTQifQ==</vt:lpwstr>
  </property>
</Properties>
</file>